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PR-0047 · Tort</w:t>
      </w:r>
    </w:p>
    <w:p>
      <w:pPr>
        <w:pStyle w:val="Title"/>
      </w:pPr>
      <w:r>
        <w:t xml:space="preserve">Where There Is a Right, There Is a Remedy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The idea that every legal right carries a means of enforcing it, and how far Indian courts have acted on it.</w:t>
      </w:r>
    </w:p>
    <w:p>
      <w:pPr>
        <w:pStyle w:val="Guidance"/>
      </w:pPr>
      <w:r>
        <w:t xml:space="preserve">Authorities to start from. These are places to begin, listed by the editors. Read each one in the original and check the citation before you rely on it.</w:t>
      </w:r>
    </w:p>
    <w:p>
      <w:pPr>
        <w:pStyle w:val="Bullet"/>
      </w:pPr>
      <w:r>
        <w:t xml:space="preserve">•  Ashby v. White, (1703) 2 Ld. Raym. 938</w:t>
      </w:r>
    </w:p>
    <w:p>
      <w:pPr>
        <w:pStyle w:val="Bullet"/>
      </w:pPr>
      <w:r>
        <w:t xml:space="preserve">•  Code of Civil Procedure, 1908, § 9</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https://fpr.iura.in/principles/ubi-jus-ibi-remedium</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