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PR-0024 · Family</w:t>
      </w:r>
    </w:p>
    <w:p>
      <w:pPr>
        <w:pStyle w:val="Title"/>
      </w:pPr>
      <w:r>
        <w:t xml:space="preserve">Welfare of the Child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paramount consideration in custody and guardianship, over parental right and personal law.</w:t>
      </w:r>
    </w:p>
    <w:p>
      <w:pPr>
        <w:pStyle w:val="Guidance"/>
      </w:pPr>
      <w:r>
        <w:t xml:space="preserve">Authorities to start from. These are places to begin, listed by the editors. Read each one in the original and check the citation before you rely on it.</w:t>
      </w:r>
    </w:p>
    <w:p>
      <w:pPr>
        <w:pStyle w:val="Bullet"/>
      </w:pPr>
      <w:r>
        <w:t xml:space="preserve">•  Guardians and Wards Act, 1890, § 17</w:t>
      </w:r>
    </w:p>
    <w:p>
      <w:pPr>
        <w:pStyle w:val="Bullet"/>
      </w:pPr>
      <w:r>
        <w:t xml:space="preserve">•  Gaurav Nagpal v. Sumedha Nagpal, (2009) 1 SCC 42</w:t>
      </w:r>
    </w:p>
    <w:p>
      <w:pPr>
        <w:pStyle w:val="Bullet"/>
      </w:pPr>
      <w:r>
        <w:t xml:space="preserve">•  Githa Hariharan v. RBI, (1999) 2 SCC 228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https://fpr.iura.in/principles/welfare-of-the-child</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