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TS-0136 · Tax</w:t>
      </w:r>
    </w:p>
    <w:p>
      <w:pPr>
        <w:pStyle w:val="Title"/>
      </w:pPr>
      <w:r>
        <w:t xml:space="preserve">Accrual of Income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income arises to a taxpayer: on acquiring the right to receive it, not on receipt.</w:t>
      </w:r>
    </w:p>
    <w:p>
      <w:pPr>
        <w:pStyle w:val="Guidance"/>
      </w:pPr>
      <w:r>
        <w:t xml:space="preserve">Authorities to start from. These are places to begin, listed by the editors. Read each one in the original and check the citation before you rely on it.</w:t>
      </w:r>
    </w:p>
    <w:p>
      <w:pPr>
        <w:pStyle w:val="Bullet"/>
      </w:pPr>
      <w:r>
        <w:t xml:space="preserve">•  E.D. Sassoon &amp; Co. Ltd. v. CIT, AIR 1954 SC 470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https://fpr.iura.in/tests/accrual-of-income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