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TS-0160 · Evidence</w:t>
      </w:r>
    </w:p>
    <w:p>
      <w:pPr>
        <w:pStyle w:val="Title"/>
      </w:pPr>
      <w:r>
        <w:t xml:space="preserve">Admissibility of Tape Recordings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conditions for admitting a recorded conversation: identified voices, proved accuracy and no tampering.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R.M. Malkani v. State of Maharashtra, (1973) 1 SCC 471</w:t>
      </w:r>
    </w:p>
    <w:p>
      <w:pPr>
        <w:pStyle w:val="Bullet"/>
      </w:pPr>
      <w:r>
        <w:t xml:space="preserve">•  Ram Singh v. Col. Ram Singh, 1985 Supp SCC 611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https://fpr.iura.in/tests/admissibility-of-tape-recordings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