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TS-0145 · IP</w:t>
      </w:r>
    </w:p>
    <w:p>
      <w:pPr>
        <w:pStyle w:val="Title"/>
      </w:pPr>
      <w:r>
        <w:t xml:space="preserve">Anti-Dissection and the Dominant Feature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rule that marks are compared as wholes, and how it sits with giving weight to a mark’s dominant part.</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Trade Marks Act, 1999, § 17</w:t>
      </w:r>
    </w:p>
    <w:p>
      <w:pPr>
        <w:pStyle w:val="Bullet"/>
      </w:pPr>
      <w:r>
        <w:t xml:space="preserve">•  South India Beverages (P) Ltd. v. General Mills Marketing Inc., 2014 SCC OnLine Del 1953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https://fpr.iura.in/tests/anti-dissection-and-dominant-feature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