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TS-0097 · Private International</w:t>
      </w:r>
    </w:p>
    <w:p>
      <w:pPr>
        <w:pStyle w:val="Title"/>
      </w:pPr>
      <w:r>
        <w:t xml:space="preserve">Anti-Suit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conditions on which an Indian court will restrain a party from suing in a foreign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Modi Entertainment Network v. W.S.G. Cricket Pte. Ltd., (2003) 4 SCC 341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https://fpr.iura.in/tests/anti-suit-injunction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