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TS-0094 · Civil Procedure</w:t>
      </w:r>
    </w:p>
    <w:p>
      <w:pPr>
        <w:pStyle w:val="Title"/>
      </w:pPr>
      <w:r>
        <w:t xml:space="preserve">Attachment before Judgment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 plaintiff must show to have the defendant’s property attached before the suit is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XXXVIII, Rule 5</w:t>
      </w:r>
    </w:p>
    <w:p>
      <w:pPr>
        <w:pStyle w:val="Bullet"/>
      </w:pPr>
      <w:r>
        <w:t xml:space="preserve">•  Raman Tech. &amp; Process Engg. Co. v. Solanki Traders, (2008) 2 SCC 302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https://fpr.iura.in/tests/attachment-before-judgment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