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TS-0069 · International (Public)</w:t>
      </w:r>
    </w:p>
    <w:p>
      <w:pPr>
        <w:pStyle w:val="Title"/>
      </w:pPr>
      <w:r>
        <w:t xml:space="preserve">Attribution of Conduct to a State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When the act of an organ, an official or a private group counts as the act of the State for international responsibility.</w:t>
      </w:r>
    </w:p>
    <w:p>
      <w:pPr>
        <w:pStyle w:val="Guidance"/>
      </w:pPr>
      <w:r>
        <w:t xml:space="preserve">Authorities to start from. These are places to begin, listed by the editors. Read each one in the original and check the citation before you rely on it.</w:t>
      </w:r>
    </w:p>
    <w:p>
      <w:pPr>
        <w:pStyle w:val="Bullet"/>
      </w:pPr>
      <w:r>
        <w:t xml:space="preserve">•  Int’l Law Comm’n, Articles on Responsibility of States for Internationally Wrongful Acts, arts. 4–11 (2001)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https://fpr.iura.in/tests/attribution-of-conduct-to-a-state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