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TS-0036 · Family</w:t>
      </w:r>
    </w:p>
    <w:p>
      <w:pPr>
        <w:pStyle w:val="Title"/>
      </w:pPr>
      <w:r>
        <w:t xml:space="preserve">Deciding Custody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factors a court weighs in awarding custody: the child’s wishes, stability, each parent’s capacity, and the limited role of the "tender years" rule.</w:t>
      </w:r>
    </w:p>
    <w:p>
      <w:pPr>
        <w:pStyle w:val="Guidance"/>
      </w:pPr>
      <w:r>
        <w:t xml:space="preserve">Authorities to start from. These are places to begin, listed by the editors. Read each one in the original and check the citation before you rely on it.</w:t>
      </w:r>
    </w:p>
    <w:p>
      <w:pPr>
        <w:pStyle w:val="Bullet"/>
      </w:pPr>
      <w:r>
        <w:t xml:space="preserve">•  Gaurav Nagpal v. Sumedha Nagpal, (2009) 1 SCC 42</w:t>
      </w:r>
    </w:p>
    <w:p>
      <w:pPr>
        <w:pStyle w:val="Bullet"/>
      </w:pPr>
      <w:r>
        <w:t xml:space="preserve">•  Roxann Sharma v. Arun Sharma, (2015) 8 SCC 318</w:t>
      </w:r>
    </w:p>
    <w:p>
      <w:pPr>
        <w:pStyle w:val="Bullet"/>
      </w:pPr>
      <w:r>
        <w:t xml:space="preserve">•  Hindu Minority and Guardianship Act, 1956, § 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https://fpr.iura.in/tests/best-interests-custody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