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TS-0042 · Tax</w:t>
      </w:r>
    </w:p>
    <w:p>
      <w:pPr>
        <w:pStyle w:val="Title"/>
      </w:pPr>
      <w:r>
        <w:t xml:space="preserve">Capital or Revenue Expenditure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enduring benefit test, its limits, and why no single test decides every case.</w:t>
      </w:r>
    </w:p>
    <w:p>
      <w:pPr>
        <w:pStyle w:val="Guidance"/>
      </w:pPr>
      <w:r>
        <w:t xml:space="preserve">Authorities to start from. These are places to begin, listed by the editors. Read each one in the original and check the citation before you rely on it.</w:t>
      </w:r>
    </w:p>
    <w:p>
      <w:pPr>
        <w:pStyle w:val="Bullet"/>
      </w:pPr>
      <w:r>
        <w:t xml:space="preserve">•  Empire Jute Co. Ltd. v. CIT, (1980) 4 SCC 25</w:t>
      </w:r>
    </w:p>
    <w:p>
      <w:pPr>
        <w:pStyle w:val="Bullet"/>
      </w:pPr>
      <w:r>
        <w:t xml:space="preserve">•  Assam Bengal Cement Co. Ltd. v. CIT, AIR 1955 SC 89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https://fpr.iura.in/tests/capital-or-revenue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