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TS-0138 · Tax</w:t>
      </w:r>
    </w:p>
    <w:p>
      <w:pPr>
        <w:pStyle w:val="Title"/>
      </w:pPr>
      <w:r>
        <w:t xml:space="preserve">Change of Opinion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an assessment cannot be reopened merely because the officer now takes a different view of the same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Kelvinator of India Ltd., (2010) 2 SCC 723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https://fpr.iura.in/tests/change-of-opinion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