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TS-0034 · Private International</w:t>
      </w:r>
    </w:p>
    <w:p>
      <w:pPr>
        <w:pStyle w:val="Title"/>
      </w:pPr>
      <w:r>
        <w:t xml:space="preserve">Conclusiveness of Foreign Judgments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six exceptions in section 13 CPC, applied to foreign divorce decrees and money judgments.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13</w:t>
      </w:r>
    </w:p>
    <w:p>
      <w:pPr>
        <w:pStyle w:val="Bullet"/>
      </w:pPr>
      <w:r>
        <w:t xml:space="preserve">•  Y. Narasimha Rao v. Y. Venkata Lakshmi, (1991) 3 SCC 451</w:t>
      </w:r>
    </w:p>
    <w:p>
      <w:pPr>
        <w:pStyle w:val="Bullet"/>
      </w:pPr>
      <w:r>
        <w:t xml:space="preserve">•  Satya v. Teja Singh, (1975) 1 SCC 120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https://fpr.iura.in/tests/conclusiveness-of-foreign-judgments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