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TS-0127 · Family</w:t>
      </w:r>
    </w:p>
    <w:p>
      <w:pPr>
        <w:pStyle w:val="Title"/>
      </w:pPr>
      <w:r>
        <w:t xml:space="preserve">Continuing Consent in Divorce by Mutual Consent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consent must last until the decree, and whether one spouse can withdraw it after the petition is filed.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Marriage Act, 1955, § 13B</w:t>
      </w:r>
    </w:p>
    <w:p>
      <w:pPr>
        <w:pStyle w:val="Bullet"/>
      </w:pPr>
      <w:r>
        <w:t xml:space="preserve">•  Sureshta Devi v. Om Prakash, (1991) 2 SCC 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https://fpr.iura.in/tests/consent-in-divorce-by-mutual-consent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