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TS-0025 · Labour</w:t>
      </w:r>
    </w:p>
    <w:p>
      <w:pPr>
        <w:pStyle w:val="Title"/>
      </w:pPr>
      <w:r>
        <w:t xml:space="preserve">The Control and Integration Tests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Who is an employee: control over the manner of work, integration into the business, and the multi-factor approach.</w:t>
      </w:r>
    </w:p>
    <w:p>
      <w:pPr>
        <w:pStyle w:val="Guidance"/>
      </w:pPr>
      <w:r>
        <w:t xml:space="preserve">Authorities to start from. These are places to begin, listed by the editors. Read each one in the original and check the citation before you rely on it.</w:t>
      </w:r>
    </w:p>
    <w:p>
      <w:pPr>
        <w:pStyle w:val="Bullet"/>
      </w:pPr>
      <w:r>
        <w:t xml:space="preserve">•  Dharangadhara Chemical Works Ltd. v. State of Saurashtra, AIR 1957 SC 264</w:t>
      </w:r>
    </w:p>
    <w:p>
      <w:pPr>
        <w:pStyle w:val="Bullet"/>
      </w:pPr>
      <w:r>
        <w:t xml:space="preserve">•  Silver Jubilee Tailoring House v. Chief Inspector of Shops &amp; Establishments, (1974) 3 SCC 498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https://fpr.iura.in/tests/control-test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