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TS-0041 · Labour</w:t>
      </w:r>
    </w:p>
    <w:p>
      <w:pPr>
        <w:pStyle w:val="Title"/>
      </w:pPr>
      <w:r>
        <w:t xml:space="preserve">Arising Out of and in the Course of Employment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two-part condition for employees’ compensation: a causal link with the work and an injury during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Employees’ Compensation Act, 1923, § 3</w:t>
      </w:r>
    </w:p>
    <w:p>
      <w:pPr>
        <w:pStyle w:val="Bullet"/>
      </w:pPr>
      <w:r>
        <w:t xml:space="preserve">•  Mackinnon Mackenzie &amp; Co. (P) Ltd. v. Ibrahim Mahmmed Issak, (1969) 2 SCC 607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https://fpr.iura.in/tests/course-of-employment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