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TS-0151 · Arbitration</w:t>
      </w:r>
    </w:p>
    <w:p>
      <w:pPr>
        <w:pStyle w:val="Title"/>
      </w:pPr>
      <w:r>
        <w:t xml:space="preserve">Court Interim Relief after the Tribunal Is Formed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still grant interim measures once the arbitral tribunal is in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9(3)</w:t>
      </w:r>
    </w:p>
    <w:p>
      <w:pPr>
        <w:pStyle w:val="Bullet"/>
      </w:pPr>
      <w:r>
        <w:t xml:space="preserve">•  Arcelor Mittal Nippon Steel India Ltd. v. Essar Bulk Terminal Ltd., (2022) 1 SCC 712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https://fpr.iura.in/tests/court-interim-relief-after-the-tribunal-is-formed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