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TS-0008 · Constitutional</w:t>
      </w:r>
    </w:p>
    <w:p>
      <w:pPr>
        <w:pStyle w:val="Title"/>
      </w:pPr>
      <w:r>
        <w:t xml:space="preserve">The Creamy Layer Test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Excluding the advanced among a backward class from reservation: the test, and whether it applies to Scheduled Castes and Tribes.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Indra Sawhney v. Union of India, 1992 Supp (3) SCC 217</w:t>
      </w:r>
    </w:p>
    <w:p>
      <w:pPr>
        <w:pStyle w:val="Bullet"/>
      </w:pPr>
      <w:r>
        <w:t xml:space="preserve">•  Jarnail Singh v. Lachhmi Narain Gupta, (2018) 10 SCC 396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https://fpr.iura.in/tests/creamy-layer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