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TS-0059 · International (Public)</w:t>
      </w:r>
    </w:p>
    <w:p>
      <w:pPr>
        <w:pStyle w:val="Title"/>
      </w:pPr>
      <w:r>
        <w:t xml:space="preserve">Proving a Rule of Customary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State practice and opinio juris, and how readily Indian courts have found custom.</w:t>
      </w:r>
    </w:p>
    <w:p>
      <w:pPr>
        <w:pStyle w:val="Guidance"/>
      </w:pPr>
      <w:r>
        <w:t xml:space="preserve">Authorities to start from. These are places to begin, listed by the editors. Read each one in the original and check the citation before you rely on it.</w:t>
      </w:r>
    </w:p>
    <w:p>
      <w:pPr>
        <w:pStyle w:val="Bullet"/>
      </w:pPr>
      <w:r>
        <w:t xml:space="preserve">•  North Sea Continental Shelf (Ger. v. Den.; Ger. v. Neth.), 1969 I.C.J. 3</w:t>
      </w:r>
    </w:p>
    <w:p>
      <w:pPr>
        <w:pStyle w:val="Bullet"/>
      </w:pPr>
      <w:r>
        <w:t xml:space="preserve">•  Vellore Citizens’ Welfare Forum v. Union of India, (1996) 5 SCC 647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https://fpr.iura.in/tests/customary-international-law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