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TS-0035 · Banking</w:t>
      </w:r>
    </w:p>
    <w:p>
      <w:pPr>
        <w:pStyle w:val="Title"/>
      </w:pPr>
      <w:r>
        <w:t xml:space="preserve">Debt and Default under the Insolvency Code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What an adjudicating authority must find before admitting a financial creditor’s application, and whether it has discretion to refuse.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Innoventive Industries Ltd. v. ICICI Bank, (2018) 1 SCC 407</w:t>
      </w:r>
    </w:p>
    <w:p>
      <w:pPr>
        <w:pStyle w:val="Bullet"/>
      </w:pPr>
      <w:r>
        <w:t xml:space="preserve">•  Vidarbha Industries Power Ltd. v. Axis Bank Ltd., (2022) 8 SCC 352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https://fpr.iura.in/tests/default-under-ibc</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