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TS-0102 · Criminal</w:t>
      </w:r>
    </w:p>
    <w:p>
      <w:pPr>
        <w:pStyle w:val="Title"/>
      </w:pPr>
      <w:r>
        <w:t xml:space="preserve">Demand and Acceptance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What must be proved in a bribery case, and whether demand can be inferred when the complainant dies or turns hostile.</w:t>
      </w:r>
    </w:p>
    <w:p>
      <w:pPr>
        <w:pStyle w:val="Guidance"/>
      </w:pPr>
      <w:r>
        <w:t xml:space="preserve">Authorities to start from. These are places to begin, listed by the editors. Read each one in the original and check the citation before you rely on it.</w:t>
      </w:r>
    </w:p>
    <w:p>
      <w:pPr>
        <w:pStyle w:val="Bullet"/>
      </w:pPr>
      <w:r>
        <w:t xml:space="preserve">•  Prevention of Corruption Act, 1988, §§ 7, 13, 20</w:t>
      </w:r>
    </w:p>
    <w:p>
      <w:pPr>
        <w:pStyle w:val="Bullet"/>
      </w:pPr>
      <w:r>
        <w:t xml:space="preserve">•  Neeraj Dutta v. State (NCT of Delhi), (2023) 4 SCC 731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https://fpr.iura.in/tests/demand-and-acceptance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