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TS-0104 · Criminal</w:t>
      </w:r>
    </w:p>
    <w:p>
      <w:pPr>
        <w:pStyle w:val="Title"/>
      </w:pPr>
      <w:r>
        <w:t xml:space="preserve">Determination of 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order of proof for deciding whether a person is a child: school records first, then birth certificate, then medical opinion.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94</w:t>
      </w:r>
    </w:p>
    <w:p>
      <w:pPr>
        <w:pStyle w:val="Bullet"/>
      </w:pPr>
      <w:r>
        <w:t xml:space="preserve">•  Jarnail Singh v. State of Haryana, (2013) 7 SCC 263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https://fpr.iura.in/tests/determination-of-age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