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TS-0098 · Criminal</w:t>
      </w:r>
    </w:p>
    <w:p>
      <w:pPr>
        <w:pStyle w:val="Title"/>
      </w:pPr>
      <w:r>
        <w:t xml:space="preserve">Discharge and Framing of 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question at the threshold of a trial: whether the material raises a grave suspicion, without weighing it as at the 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227, 228 (now Bharatiya Nagarik Suraksha Sanhita, 2023, §§ 250, 251)</w:t>
      </w:r>
    </w:p>
    <w:p>
      <w:pPr>
        <w:pStyle w:val="Bullet"/>
      </w:pPr>
      <w:r>
        <w:t xml:space="preserve">•  Union of India v. Prafulla Kumar Samal, (1979) 3 SCC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https://fpr.iura.in/tests/discharge-and-framing-of-charge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