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TS-0058 · Environment</w:t>
      </w:r>
    </w:p>
    <w:p>
      <w:pPr>
        <w:pStyle w:val="Title"/>
      </w:pPr>
      <w:r>
        <w:t xml:space="preserve">Computing Environmental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courts and the Green Tribunal quantify damage: restoration cost, turnover-based penalties and deterrence.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Sterlite Industries (India) Ltd. v. Union of India, (2013) 4 SCC 575</w:t>
      </w:r>
    </w:p>
    <w:p>
      <w:pPr>
        <w:pStyle w:val="Bullet"/>
      </w:pPr>
      <w:r>
        <w:t xml:space="preserve">•  Goel Ganga Developers India (P) Ltd. v. Union of India, (2018) 18 SCC 257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https://fpr.iura.in/tests/environmental-compensation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