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TS-0164 · Administrative</w:t>
      </w:r>
    </w:p>
    <w:p>
      <w:pPr>
        <w:pStyle w:val="Title"/>
      </w:pPr>
      <w:r>
        <w:t xml:space="preserve">Foundation or Motive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the termination of a probationer is punitive: was the misconduct the foundation of the order or only the motive for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Parshotam Lal Dhingra v. Union of India, AIR 1958 SC 36</w:t>
      </w:r>
    </w:p>
    <w:p>
      <w:pPr>
        <w:pStyle w:val="Bullet"/>
      </w:pPr>
      <w:r>
        <w:t xml:space="preserve">•  Dipti Prakash Banerjee v. Satyendra Nath Bose National Centre for Basic Sciences, (1999) 3 SCC 60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https://fpr.iura.in/tests/foundation-or-motive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