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TS-0152 · Arbitration</w:t>
      </w:r>
    </w:p>
    <w:p>
      <w:pPr>
        <w:pStyle w:val="Title"/>
      </w:pPr>
      <w:r>
        <w:t xml:space="preserve">Fraud and Arbitrability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When an allegation of fraud takes a dispute out of arbitration: serious fraud going to the agreement itself or having a public character.</w:t>
      </w:r>
    </w:p>
    <w:p>
      <w:pPr>
        <w:pStyle w:val="Guidance"/>
      </w:pPr>
      <w:r>
        <w:t xml:space="preserve">Authorities to start from. These are places to begin, listed by the editors. Read each one in the original and check the citation before you rely on it.</w:t>
      </w:r>
    </w:p>
    <w:p>
      <w:pPr>
        <w:pStyle w:val="Bullet"/>
      </w:pPr>
      <w:r>
        <w:t xml:space="preserve">•  A. Ayyasamy v. A. Paramasivam, (2016) 10 SCC 386</w:t>
      </w:r>
    </w:p>
    <w:p>
      <w:pPr>
        <w:pStyle w:val="Bullet"/>
      </w:pPr>
      <w:r>
        <w:t xml:space="preserve">•  Avitel Post Studioz Ltd. v. HSBC PI Holdings (Mauritius) Ltd., (2021) 4 SCC 713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https://fpr.iura.in/tests/fraud-and-arbitrability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