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TS-0068 · Constitutional</w:t>
      </w:r>
    </w:p>
    <w:p>
      <w:pPr>
        <w:pStyle w:val="Title"/>
      </w:pPr>
      <w:r>
        <w:t xml:space="preserve">Grounds for a Curative Petition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narrow conditions on which the Supreme Court reopens its own final judgment after review has failed.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Rupa Ashok Hurra v. Ashok Hurra, (2002) 4 SCC 388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https://fpr.iura.in/tests/grounds-for-a-curative-petition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