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TS-0073 · Constitutional</w:t>
      </w:r>
    </w:p>
    <w:p>
      <w:pPr>
        <w:pStyle w:val="Title"/>
      </w:pPr>
      <w:r>
        <w:t xml:space="preserve">Indirect Discrimination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two steps for deciding whether a neutral rule discriminates: does it fall more heavily on a group, and does that reinforce disadvantage.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Lt. Col. Nitisha v. Union of India, (2021) 15 SCC 125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https://fpr.iura.in/tests/indirect-discrimination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