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TS-0048 · Securities</w:t>
      </w:r>
    </w:p>
    <w:p>
      <w:pPr>
        <w:pStyle w:val="Title"/>
      </w:pPr>
      <w:r>
        <w:t xml:space="preserve">Proving Insider Trading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Possession of unpublished price sensitive information, the presumption for connected persons, and proof by circumstances.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Insider Trading) Regulations, 2015, regs. 3–4</w:t>
      </w:r>
    </w:p>
    <w:p>
      <w:pPr>
        <w:pStyle w:val="Bullet"/>
      </w:pPr>
      <w:r>
        <w:t xml:space="preserve">•  Balram Garg v. SEBI, (2022) 9 SCC 425</w:t>
      </w:r>
    </w:p>
    <w:p>
      <w:pPr>
        <w:pStyle w:val="Bullet"/>
      </w:pPr>
      <w:r>
        <w:t xml:space="preserve">•  SEBI v. Abhijit Rajan, 2022 SCC OnLine SC 1241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https://fpr.iura.in/tests/insider-trading-proof</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