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TS-0005 · Constitutional</w:t>
      </w:r>
    </w:p>
    <w:p>
      <w:pPr>
        <w:pStyle w:val="Title"/>
      </w:pPr>
      <w:r>
        <w:t xml:space="preserve">The Instrumentality Test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factors that make a body an "other authority" under Article 12, and the later emphasis on deep and pervasive control.</w:t>
      </w:r>
    </w:p>
    <w:p>
      <w:pPr>
        <w:pStyle w:val="Guidance"/>
      </w:pPr>
      <w:r>
        <w:t xml:space="preserve">Authorities to start from. These are places to begin, listed by the editors. Read each one in the original and check the citation before you rely on it.</w:t>
      </w:r>
    </w:p>
    <w:p>
      <w:pPr>
        <w:pStyle w:val="Bullet"/>
      </w:pPr>
      <w:r>
        <w:t xml:space="preserve">•  Ajay Hasia v. Khalid Mujib Sehravardi, (1981) 1 SCC 722</w:t>
      </w:r>
    </w:p>
    <w:p>
      <w:pPr>
        <w:pStyle w:val="Bullet"/>
      </w:pPr>
      <w:r>
        <w:t xml:space="preserve">•  Pradeep Kumar Biswas v. Indian Institute of Chemical Biology, (2002) 5 SCC 111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https://fpr.iura.in/tests/instrumentality-test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