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Test · TS-0155 · Criminal</w:t>
      </w:r>
    </w:p>
    <w:p>
      <w:pPr>
        <w:pStyle w:val="Title"/>
      </w:pPr>
      <w:r>
        <w:t xml:space="preserve">Interlocutory Order</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The question the test answers</w:t>
      </w:r>
    </w:p>
    <w:p>
      <w:pPr>
        <w:pStyle w:val="Guidance"/>
      </w:pPr>
      <w:r>
        <w:t xml:space="preserve">What a court is trying to decide when it uses this test.</w:t>
      </w:r>
    </w:p>
    <w:p/>
    <w:p>
      <w:pPr>
        <w:pStyle w:val="Heading1"/>
      </w:pPr>
      <w:r>
        <w:t xml:space="preserve">The steps</w:t>
      </w:r>
    </w:p>
    <w:p>
      <w:pPr>
        <w:pStyle w:val="Guidance"/>
      </w:pPr>
      <w:r>
        <w:t xml:space="preserve">Each step in order, stated as the courts state it.</w:t>
      </w:r>
    </w:p>
    <w:p/>
    <w:p>
      <w:pPr>
        <w:pStyle w:val="Heading1"/>
      </w:pPr>
      <w:r>
        <w:t xml:space="preserve">The case behind each step</w:t>
      </w:r>
    </w:p>
    <w:p>
      <w:pPr>
        <w:pStyle w:val="Guidance"/>
      </w:pPr>
      <w:r>
        <w:t xml:space="preserve">Where each step came from, with pinpoint references.</w:t>
      </w:r>
    </w:p>
    <w:p/>
    <w:p>
      <w:pPr>
        <w:pStyle w:val="Heading1"/>
      </w:pPr>
      <w:r>
        <w:t xml:space="preserve">How courts apply it</w:t>
      </w:r>
    </w:p>
    <w:p>
      <w:pPr>
        <w:pStyle w:val="Guidance"/>
      </w:pPr>
      <w:r>
        <w:t xml:space="preserve">Recent decisions, including ones that applied the test loosely.</w:t>
      </w:r>
    </w:p>
    <w:p/>
    <w:p>
      <w:pPr>
        <w:pStyle w:val="Heading1"/>
      </w:pPr>
      <w:r>
        <w:t xml:space="preserve">Criticism</w:t>
      </w:r>
    </w:p>
    <w:p>
      <w:pPr>
        <w:pStyle w:val="Guidance"/>
      </w:pPr>
      <w:r>
        <w:t xml:space="preserve">What judges and writers have said is wrong or unclear about the test.</w:t>
      </w:r>
    </w:p>
    <w:p/>
    <w:p>
      <w:pPr>
        <w:pStyle w:val="Heading1"/>
      </w:pPr>
      <w:r>
        <w:t xml:space="preserve">Notes for the writer (delete before submitting)</w:t>
      </w:r>
    </w:p>
    <w:p>
      <w:pPr>
        <w:pStyle w:val="Guidance"/>
      </w:pPr>
      <w:r>
        <w:t xml:space="preserve">Scope of this entry. Which orders in a criminal case are so provisional that no revision lies, and the middle class of orders that are not.</w:t>
      </w:r>
    </w:p>
    <w:p>
      <w:pPr>
        <w:pStyle w:val="Guidance"/>
      </w:pPr>
      <w:r>
        <w:t xml:space="preserve">Authorities to start from. These are places to begin, listed by the editors. Read each one in the original and check the citation before you rely on it.</w:t>
      </w:r>
    </w:p>
    <w:p>
      <w:pPr>
        <w:pStyle w:val="Bullet"/>
      </w:pPr>
      <w:r>
        <w:t xml:space="preserve">•  Code of Criminal Procedure, 1973, § 397(2) (now Bharatiya Nagarik Suraksha Sanhita, 2023, § 438(2))</w:t>
      </w:r>
    </w:p>
    <w:p>
      <w:pPr>
        <w:pStyle w:val="Bullet"/>
      </w:pPr>
      <w:r>
        <w:t xml:space="preserve">•  Amar Nath v. State of Haryana, (1977) 4 SCC 137</w:t>
      </w:r>
    </w:p>
    <w:p>
      <w:pPr>
        <w:pStyle w:val="Bullet"/>
      </w:pPr>
      <w:r>
        <w:t xml:space="preserve">•  Madhu Limaye v. State of Maharashtra, (1977) 4 SCC 551</w:t>
      </w:r>
    </w:p>
    <w:p>
      <w:pPr>
        <w:pStyle w:val="Guidance"/>
      </w:pPr>
      <w:r>
        <w:t xml:space="preserve">Length. At least 2,000 words if you are in year 1 or 2, and at least 3,000 from year 3 on. Footnotes do not count.</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https://fpr.iura.in/submit after claiming the entry at https://fpr.iura.in/tests/interlocutory-order</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