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TS-0056 · Tech &amp; Data</w:t>
      </w:r>
    </w:p>
    <w:p>
      <w:pPr>
        <w:pStyle w:val="Title"/>
      </w:pPr>
      <w:r>
        <w:t xml:space="preserve">A Lawful Internet Shutdown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Necessity, proportionality, a time limit, publication of the order and periodic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Anuradha Bhasin v. Union of India, (2020) 3 SCC 637</w:t>
      </w:r>
    </w:p>
    <w:p>
      <w:pPr>
        <w:pStyle w:val="Bullet"/>
      </w:pPr>
      <w:r>
        <w:t xml:space="preserve">•  Temporary Suspension of Telecom Services (Public Emergency or Public Safety) Rules, 2017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https://fpr.iura.in/tests/internet-shutdown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