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TS-0118 · Property</w:t>
      </w:r>
    </w:p>
    <w:p>
      <w:pPr>
        <w:pStyle w:val="Title"/>
      </w:pPr>
      <w:r>
        <w:t xml:space="preserve">Lease or Licence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arrangement gives an interest in land or only permission to use it: intention, not the label, decides.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105</w:t>
      </w:r>
    </w:p>
    <w:p>
      <w:pPr>
        <w:pStyle w:val="Bullet"/>
      </w:pPr>
      <w:r>
        <w:t xml:space="preserve">•  Indian Easements Act, 1882, § 52</w:t>
      </w:r>
    </w:p>
    <w:p>
      <w:pPr>
        <w:pStyle w:val="Bullet"/>
      </w:pPr>
      <w:r>
        <w:t xml:space="preserve">•  Associated Hotels of India Ltd. v. R.N. Kapoor, AIR 1959 SC 1262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https://fpr.iura.in/tests/lease-or-licence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