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TS-0088 · Civil Procedure</w:t>
      </w:r>
    </w:p>
    <w:p>
      <w:pPr>
        <w:pStyle w:val="Title"/>
      </w:pPr>
      <w:r>
        <w:t xml:space="preserve">Leave to Defend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The graded test for letting a defendant in a summary suit defend: from a substantial defence to a plainly frivolous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XXXVII, Rule 3</w:t>
      </w:r>
    </w:p>
    <w:p>
      <w:pPr>
        <w:pStyle w:val="Bullet"/>
      </w:pPr>
      <w:r>
        <w:t xml:space="preserve">•  IDBI Trusteeship Services Ltd. v. Hubtown Ltd., (2017) 1 SCC 568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https://fpr.iura.in/tests/leave-to-defend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