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TS-0125 · Family</w:t>
      </w:r>
    </w:p>
    <w:p>
      <w:pPr>
        <w:pStyle w:val="Title"/>
      </w:pPr>
      <w:r>
        <w:t xml:space="preserve">Legal Necessity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the manager of a joint family or of a minor’s estate may sell or charge the property, and what a buyer must inquire into.</w:t>
      </w:r>
    </w:p>
    <w:p>
      <w:pPr>
        <w:pStyle w:val="Guidance"/>
      </w:pPr>
      <w:r>
        <w:t xml:space="preserve">Authorities to start from. These are places to begin, listed by the editors. Read each one in the original and check the citation before you rely on it.</w:t>
      </w:r>
    </w:p>
    <w:p>
      <w:pPr>
        <w:pStyle w:val="Bullet"/>
      </w:pPr>
      <w:r>
        <w:t xml:space="preserve">•  Hunoomanpersaud Panday v. Mussumat Babooee Munraj Koonweree, (1856) 6 Moo IA 393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https://fpr.iura.in/tests/legal-necessity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