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TS-0063 · Criminal</w:t>
      </w:r>
    </w:p>
    <w:p>
      <w:pPr>
        <w:pStyle w:val="Title"/>
      </w:pPr>
      <w:r>
        <w:t xml:space="preserve">The Limits of Private Defence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force may be used to defend person or property, how much, and when the right extends to causing death.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96–106 (now Bharatiya Nyaya Sanhita, 2023, §§ 34–44)</w:t>
      </w:r>
    </w:p>
    <w:p>
      <w:pPr>
        <w:pStyle w:val="Bullet"/>
      </w:pPr>
      <w:r>
        <w:t xml:space="preserve">•  Darshan Singh v. State of Punjab, (2010) 2 SCC 333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https://fpr.iura.in/tests/limits-of-private-defence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