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TS-0115 · Tort</w:t>
      </w:r>
    </w:p>
    <w:p>
      <w:pPr>
        <w:pStyle w:val="Title"/>
      </w:pPr>
      <w:r>
        <w:t xml:space="preserve">Malicious Prosecution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five things a claimant must prove, including malice and the absence of reasonable and probable cause.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West Bengal State Electricity Board v. Dilip Kumar Ray, (2007) 14 SCC 568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https://fpr.iura.in/tests/malicious-prosecution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