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TS-0092 · Civil Procedure</w:t>
      </w:r>
    </w:p>
    <w:p>
      <w:pPr>
        <w:pStyle w:val="Title"/>
      </w:pPr>
      <w:r>
        <w:t xml:space="preserve">Mandatory Interim Injunction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higher standard for an interim order that compels an act: a strong case, not merely a prima facie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Dorab Cawasji Warden v. Coomi Sorab Warden, (1990) 2 SCC 117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https://fpr.iura.in/tests/mandatory-interim-injunction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