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TS-0002 · Constitutional</w:t>
      </w:r>
    </w:p>
    <w:p>
      <w:pPr>
        <w:pStyle w:val="Title"/>
      </w:pPr>
      <w:r>
        <w:t xml:space="preserve">Manifest Arbitrariness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ground on which plenary legislation can be struck down under Article 14: what "manifest" adds, and its revival in 2017.</w:t>
      </w:r>
    </w:p>
    <w:p>
      <w:pPr>
        <w:pStyle w:val="Guidance"/>
      </w:pPr>
      <w:r>
        <w:t xml:space="preserve">Authorities to start from. These are places to begin, listed by the editors. Read each one in the original and check the citation before you rely on it.</w:t>
      </w:r>
    </w:p>
    <w:p>
      <w:pPr>
        <w:pStyle w:val="Bullet"/>
      </w:pPr>
      <w:r>
        <w:t xml:space="preserve">•  Shayara Bano v. Union of India, (2017) 9 SCC 1</w:t>
      </w:r>
    </w:p>
    <w:p>
      <w:pPr>
        <w:pStyle w:val="Bullet"/>
      </w:pPr>
      <w:r>
        <w:t xml:space="preserve">•  State of A.P. v. McDowell &amp; Co., (1996) 3 SCC 709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https://fpr.iura.in/tests/manifest-arbitrariness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