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TS-0124 · Property</w:t>
      </w:r>
    </w:p>
    <w:p>
      <w:pPr>
        <w:pStyle w:val="Title"/>
      </w:pPr>
      <w:r>
        <w:t xml:space="preserve">Market Value in Land Acquisition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method for valuing acquired land from comparable sales, with the adjustments to be made up and down.</w:t>
      </w:r>
    </w:p>
    <w:p>
      <w:pPr>
        <w:pStyle w:val="Guidance"/>
      </w:pPr>
      <w:r>
        <w:t xml:space="preserve">Authorities to start from. These are places to begin, listed by the editors. Read each one in the original and check the citation before you rely on it.</w:t>
      </w:r>
    </w:p>
    <w:p>
      <w:pPr>
        <w:pStyle w:val="Bullet"/>
      </w:pPr>
      <w:r>
        <w:t xml:space="preserve">•  Chimanlal Hargovinddas v. Special Land Acquisition Officer, (1988) 3 SCC 751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https://fpr.iura.in/tests/market-value-in-land-acquisition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