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TS-0106 · Criminal</w:t>
      </w:r>
    </w:p>
    <w:p>
      <w:pPr>
        <w:pStyle w:val="Title"/>
      </w:pPr>
      <w:r>
        <w:t xml:space="preserve">Mental Illness after Conviction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“test of severity” for deciding whether mental illness arising after conviction bars execution.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Accused X v. State of Maharashtra, (2019) 7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https://fpr.iura.in/tests/mental-illness-after-conviction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