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TS-0116 · Tort</w:t>
      </w:r>
    </w:p>
    <w:p>
      <w:pPr>
        <w:pStyle w:val="Title"/>
      </w:pPr>
      <w:r>
        <w:t xml:space="preserve">Multiplier Method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method of working out compensation for death or disability from income, age and dependency.</w:t>
      </w:r>
    </w:p>
    <w:p>
      <w:pPr>
        <w:pStyle w:val="Guidance"/>
      </w:pPr>
      <w:r>
        <w:t xml:space="preserve">Authorities to start from. These are places to begin, listed by the editors. Read each one in the original and check the citation before you rely on it.</w:t>
      </w:r>
    </w:p>
    <w:p>
      <w:pPr>
        <w:pStyle w:val="Bullet"/>
      </w:pPr>
      <w:r>
        <w:t xml:space="preserve">•  Sarla Verma v. Delhi Transport Corporation, (2009) 6 SCC 121</w:t>
      </w:r>
    </w:p>
    <w:p>
      <w:pPr>
        <w:pStyle w:val="Bullet"/>
      </w:pPr>
      <w:r>
        <w:t xml:space="preserve">•  National Insurance Co. Ltd. v. Pranay Sethi, (2017) 16 SCC 680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https://fpr.iura.in/tests/multiplier-method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