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TS-0128 · Family</w:t>
      </w:r>
    </w:p>
    <w:p>
      <w:pPr>
        <w:pStyle w:val="Title"/>
      </w:pPr>
      <w:r>
        <w:t xml:space="preserve">Ordering a DNA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direct a paternity test: only on eminent need, weighing the child’s interests and the presumption of legitimacy.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Goutam Kundu v. State of W.B., (1993) 3 SCC 418</w:t>
      </w:r>
    </w:p>
    <w:p>
      <w:pPr>
        <w:pStyle w:val="Bullet"/>
      </w:pPr>
      <w:r>
        <w:t xml:space="preserve">•  Bhabani Prasad Jena v. Orissa State Commission for Women, (2010) 8 SCC 633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https://fpr.iura.in/tests/ordering-a-dna-test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