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TS-0133 · Competition</w:t>
      </w:r>
    </w:p>
    <w:p>
      <w:pPr>
        <w:pStyle w:val="Title"/>
      </w:pPr>
      <w:r>
        <w:t xml:space="preserve">Parallelism Plus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rule that identical prices alone do not prove a cartel, and the further factors needed.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Rajasthan Cylinders &amp; Containers Ltd. v. Union of India, (2020) 16 SCC 615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https://fpr.iura.in/tests/parallelism-plus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