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TS-0053 · IP</w:t>
      </w:r>
    </w:p>
    <w:p>
      <w:pPr>
        <w:pStyle w:val="Title"/>
      </w:pPr>
      <w:r>
        <w:t xml:space="preserve">The Classical Trinity of Passing Off</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Goodwill, misrepresentation and damage: the three elements of the common law action.</w:t>
      </w:r>
    </w:p>
    <w:p>
      <w:pPr>
        <w:pStyle w:val="Guidance"/>
      </w:pPr>
      <w:r>
        <w:t xml:space="preserve">Authorities to start from. These are places to begin, listed by the editors. Read each one in the original and check the citation before you rely on it.</w:t>
      </w:r>
    </w:p>
    <w:p>
      <w:pPr>
        <w:pStyle w:val="Bullet"/>
      </w:pPr>
      <w:r>
        <w:t xml:space="preserve">•  Laxmikant V. Patel v. Chetanbhai Shah, (2002) 3 SCC 65</w:t>
      </w:r>
    </w:p>
    <w:p>
      <w:pPr>
        <w:pStyle w:val="Bullet"/>
      </w:pPr>
      <w:r>
        <w:t xml:space="preserve">•  Satyam Infoway Ltd. v. Siffynet Solutions (P) Ltd., (2004) 6 SCC 145</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https://fpr.iura.in/tests/passing-off</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