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TS-0051 · Banking</w:t>
      </w:r>
    </w:p>
    <w:p>
      <w:pPr>
        <w:pStyle w:val="Title"/>
      </w:pPr>
      <w:r>
        <w:t xml:space="preserve">A Pre-Existing Dispute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An operational creditor’s insolvency application fails if a genuine dispute existed before the demand notice.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Mobilox Innovations (P) Ltd. v. Kirusa Software (P) Ltd., (2018) 1 SCC 353</w:t>
      </w:r>
    </w:p>
    <w:p>
      <w:pPr>
        <w:pStyle w:val="Bullet"/>
      </w:pPr>
      <w:r>
        <w:t xml:space="preserve">•  Insolvency and Bankruptcy Code, 2016, §§ 8–9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https://fpr.iura.in/tests/pre-existing-dispute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