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TS-0060 · Private International</w:t>
      </w:r>
    </w:p>
    <w:p>
      <w:pPr>
        <w:pStyle w:val="Title"/>
      </w:pPr>
      <w:r>
        <w:t xml:space="preserve">The Proper Law of a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Express choice, inferred choice, and the system with the closest and most real connection.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NTPC v. Singer Co., (1992) 3 SCC 551</w:t>
      </w:r>
    </w:p>
    <w:p>
      <w:pPr>
        <w:pStyle w:val="Bullet"/>
      </w:pPr>
      <w:r>
        <w:t xml:space="preserve">•  British India Steam Navigation Co. Ltd. v. Shanmughavilas Cashew Industries, (1990) 3 SCC 481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https://fpr.iura.in/tests/proper-law-of-contract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