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TS-0001 · Constitutional</w:t>
      </w:r>
    </w:p>
    <w:p>
      <w:pPr>
        <w:pStyle w:val="Title"/>
      </w:pPr>
      <w:r>
        <w:t xml:space="preserve">Proportionality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four-limb test for limits on fundamental rights: legitimate aim, suitability, necessity and balancing, and how strictly each is applied.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Modern Dental College &amp; Research Centre v. State of M.P., (2016) 7 SCC 353</w:t>
      </w:r>
    </w:p>
    <w:p>
      <w:pPr>
        <w:pStyle w:val="Bullet"/>
      </w:pPr>
      <w:r>
        <w:t xml:space="preserve">•  K.S. Puttaswamy v. Union of India, (2017) 10 SCC 1</w:t>
      </w:r>
    </w:p>
    <w:p>
      <w:pPr>
        <w:pStyle w:val="Bullet"/>
      </w:pPr>
      <w:r>
        <w:t xml:space="preserve">•  Anuradha Bhasin v. Union of India, (2020) 3 SCC 637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https://fpr.iura.in/tests/proportionality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