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TS-0074 · Constitutional</w:t>
      </w:r>
    </w:p>
    <w:p>
      <w:pPr>
        <w:pStyle w:val="Title"/>
      </w:pPr>
      <w:r>
        <w:t xml:space="preserve">Public Function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private body can be reached by a writ under Article 226 because the duty it performs is a public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Andi Mukta Sadguru Shree Muktajee Vandas Swami Suvarna Jayanti Mahotsav Smarak Trust v. V.R. Rudani, (1989) 2 SCC 691</w:t>
      </w:r>
    </w:p>
    <w:p>
      <w:pPr>
        <w:pStyle w:val="Bullet"/>
      </w:pPr>
      <w:r>
        <w:t xml:space="preserve">•  Zee Telefilms Ltd. v. Union of India, (2005) 4 SCC 649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https://fpr.iura.in/tests/public-function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