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TS-0037 · Family</w:t>
      </w:r>
    </w:p>
    <w:p>
      <w:pPr>
        <w:pStyle w:val="Title"/>
      </w:pPr>
      <w:r>
        <w:t xml:space="preserve">Fixing the Amount of Maintenance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criteria and the affidavit of assets that courts now require, and how overlapping orders are adjusted.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Rajnesh v. Neha, (2021) 2 SCC 324</w:t>
      </w:r>
    </w:p>
    <w:p>
      <w:pPr>
        <w:pStyle w:val="Bullet"/>
      </w:pPr>
      <w:r>
        <w:t xml:space="preserve">•  Kalyan Dey Chowdhury v. Rita Dey Chowdhury, (2017) 14 SCC 200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https://fpr.iura.in/tests/quantum-of-maintenance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