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TS-0109 · Criminal</w:t>
      </w:r>
    </w:p>
    <w:p>
      <w:pPr>
        <w:pStyle w:val="Title"/>
      </w:pPr>
      <w:r>
        <w:t xml:space="preserve">Quashing on Settlement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the High Court may end a prosecution because the parties have settled, and the offences where it will not.</w:t>
      </w:r>
    </w:p>
    <w:p>
      <w:pPr>
        <w:pStyle w:val="Guidance"/>
      </w:pPr>
      <w:r>
        <w:t xml:space="preserve">Authorities to start from. These are places to begin, listed by the editors. Read each one in the original and check the citation before you rely on it.</w:t>
      </w:r>
    </w:p>
    <w:p>
      <w:pPr>
        <w:pStyle w:val="Bullet"/>
      </w:pPr>
      <w:r>
        <w:t xml:space="preserve">•  Gian Singh v. State of Punjab, (2012) 10 SCC 303</w:t>
      </w:r>
    </w:p>
    <w:p>
      <w:pPr>
        <w:pStyle w:val="Bullet"/>
      </w:pPr>
      <w:r>
        <w:t xml:space="preserve">•  Narinder Singh v. State of Punjab, (2014) 6 SCC 466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https://fpr.iura.in/tests/quashing-on-settlement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